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08A" w:rsidRPr="00E7309C" w:rsidRDefault="00A4708A" w:rsidP="00E7309C">
      <w:pPr>
        <w:widowControl/>
        <w:shd w:val="clear" w:color="auto" w:fill="FFFFFF"/>
        <w:spacing w:afterLines="50" w:line="460" w:lineRule="exact"/>
        <w:ind w:firstLineChars="322" w:firstLine="905"/>
        <w:jc w:val="left"/>
        <w:rPr>
          <w:rFonts w:asciiTheme="minorEastAsia" w:hAnsiTheme="minorEastAsia" w:cs="Arial"/>
          <w:b/>
          <w:color w:val="040404"/>
          <w:kern w:val="0"/>
          <w:sz w:val="28"/>
          <w:szCs w:val="28"/>
        </w:rPr>
      </w:pPr>
      <w:r w:rsidRPr="00E7309C">
        <w:rPr>
          <w:rFonts w:asciiTheme="minorEastAsia" w:hAnsiTheme="minorEastAsia" w:cs="Arial" w:hint="eastAsia"/>
          <w:b/>
          <w:color w:val="040404"/>
          <w:kern w:val="0"/>
          <w:sz w:val="28"/>
          <w:szCs w:val="28"/>
        </w:rPr>
        <w:t>浙江大学求是科学班（数学）</w:t>
      </w:r>
      <w:r w:rsidR="00E7309C" w:rsidRPr="00E7309C">
        <w:rPr>
          <w:rFonts w:asciiTheme="minorEastAsia" w:hAnsiTheme="minorEastAsia" w:cs="Arial" w:hint="eastAsia"/>
          <w:b/>
          <w:color w:val="040404"/>
          <w:kern w:val="0"/>
          <w:sz w:val="28"/>
          <w:szCs w:val="28"/>
        </w:rPr>
        <w:t>2018-2019</w:t>
      </w:r>
      <w:r w:rsidRPr="00E7309C">
        <w:rPr>
          <w:rFonts w:asciiTheme="minorEastAsia" w:hAnsiTheme="minorEastAsia" w:cs="Arial" w:hint="eastAsia"/>
          <w:b/>
          <w:color w:val="040404"/>
          <w:kern w:val="0"/>
          <w:sz w:val="28"/>
          <w:szCs w:val="28"/>
        </w:rPr>
        <w:t>学年评奖评优细则</w:t>
      </w:r>
    </w:p>
    <w:p w:rsidR="00A4708A" w:rsidRPr="00E7309C" w:rsidRDefault="00A4708A" w:rsidP="00E7309C">
      <w:pPr>
        <w:widowControl/>
        <w:shd w:val="clear" w:color="auto" w:fill="FFFFFF"/>
        <w:spacing w:afterLines="50" w:line="460" w:lineRule="exact"/>
        <w:ind w:firstLine="42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为做好浙江大学求是科学班（数学）</w:t>
      </w:r>
      <w:r w:rsidR="00E7309C" w:rsidRPr="00E7309C">
        <w:rPr>
          <w:rFonts w:asciiTheme="minorEastAsia" w:hAnsiTheme="minorEastAsia" w:cs="Arial"/>
          <w:color w:val="040404"/>
          <w:kern w:val="0"/>
          <w:sz w:val="24"/>
          <w:szCs w:val="24"/>
        </w:rPr>
        <w:t>2018-2019</w:t>
      </w:r>
      <w:r w:rsidRPr="00E7309C">
        <w:rPr>
          <w:rFonts w:asciiTheme="minorEastAsia" w:hAnsiTheme="minorEastAsia" w:cs="Arial"/>
          <w:color w:val="040404"/>
          <w:kern w:val="0"/>
          <w:sz w:val="24"/>
          <w:szCs w:val="24"/>
        </w:rPr>
        <w:t>学年评奖评优工作，依据《浙江大学本科生奖学金评定条件及管理办法》、《浙江大学本科生荣誉称号评定条件及管理办法》以及其他学校相关文件规定，数学科学学院奖学金评审委员会制定此评奖评优工作实施办法，现将有关细则通知如下：</w:t>
      </w:r>
    </w:p>
    <w:p w:rsidR="00A4708A" w:rsidRPr="00E7309C" w:rsidRDefault="00A4708A" w:rsidP="00E7309C">
      <w:pPr>
        <w:widowControl/>
        <w:shd w:val="clear" w:color="auto" w:fill="FFFFFF"/>
        <w:spacing w:afterLines="50" w:line="460" w:lineRule="exact"/>
        <w:ind w:left="720" w:hanging="720"/>
        <w:jc w:val="left"/>
        <w:rPr>
          <w:rFonts w:asciiTheme="minorEastAsia" w:hAnsiTheme="minorEastAsia" w:cs="Arial"/>
          <w:color w:val="040404"/>
          <w:kern w:val="0"/>
          <w:sz w:val="24"/>
          <w:szCs w:val="24"/>
        </w:rPr>
      </w:pPr>
      <w:r w:rsidRPr="00E7309C">
        <w:rPr>
          <w:rFonts w:asciiTheme="minorEastAsia" w:hAnsiTheme="minorEastAsia" w:cs="Arial"/>
          <w:b/>
          <w:bCs/>
          <w:color w:val="040404"/>
          <w:kern w:val="0"/>
          <w:sz w:val="24"/>
          <w:szCs w:val="24"/>
        </w:rPr>
        <w:t>一、</w:t>
      </w:r>
      <w:r w:rsidRPr="00E7309C">
        <w:rPr>
          <w:rFonts w:asciiTheme="minorEastAsia" w:hAnsiTheme="minorEastAsia" w:cs="Arial"/>
          <w:color w:val="040404"/>
          <w:kern w:val="0"/>
          <w:sz w:val="24"/>
          <w:szCs w:val="24"/>
        </w:rPr>
        <w:t> </w:t>
      </w:r>
      <w:r w:rsidRPr="00E7309C">
        <w:rPr>
          <w:rFonts w:asciiTheme="minorEastAsia" w:hAnsiTheme="minorEastAsia" w:cs="Arial"/>
          <w:b/>
          <w:bCs/>
          <w:color w:val="040404"/>
          <w:kern w:val="0"/>
          <w:sz w:val="24"/>
          <w:szCs w:val="24"/>
        </w:rPr>
        <w:t>学生综合学年排名</w:t>
      </w:r>
    </w:p>
    <w:p w:rsidR="00A4708A" w:rsidRPr="00E7309C" w:rsidRDefault="00A4708A" w:rsidP="00E7309C">
      <w:pPr>
        <w:widowControl/>
        <w:shd w:val="clear" w:color="auto" w:fill="FFFFFF"/>
        <w:spacing w:afterLines="50" w:line="460" w:lineRule="exact"/>
        <w:ind w:firstLine="48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采用学业成绩和研究创新两方面数据进行的排名作为学生学年综合排名的依据。具体排名计算方法如下：</w:t>
      </w:r>
    </w:p>
    <w:p w:rsidR="00A4708A" w:rsidRPr="00E7309C" w:rsidRDefault="00A4708A" w:rsidP="00A1268F">
      <w:pPr>
        <w:widowControl/>
        <w:shd w:val="clear" w:color="auto" w:fill="FFFFFF"/>
        <w:spacing w:afterLines="50" w:line="460" w:lineRule="exact"/>
        <w:ind w:firstLineChars="200" w:firstLine="48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学生学年综合排名值=学业成绩学年排名×80%+研究创新学年排名×20%</w:t>
      </w:r>
    </w:p>
    <w:p w:rsidR="00A4708A" w:rsidRPr="00E7309C" w:rsidRDefault="00E7309C" w:rsidP="00E7309C">
      <w:pPr>
        <w:widowControl/>
        <w:shd w:val="clear" w:color="auto" w:fill="FFFFFF"/>
        <w:spacing w:afterLines="50" w:line="460" w:lineRule="exact"/>
        <w:ind w:leftChars="171" w:left="359" w:firstLineChars="50" w:firstLine="120"/>
        <w:jc w:val="left"/>
        <w:rPr>
          <w:rFonts w:asciiTheme="minorEastAsia" w:hAnsiTheme="minorEastAsia" w:cs="Arial"/>
          <w:color w:val="040404"/>
          <w:kern w:val="0"/>
          <w:sz w:val="24"/>
          <w:szCs w:val="24"/>
        </w:rPr>
      </w:pPr>
      <w:r>
        <w:rPr>
          <w:rFonts w:asciiTheme="minorEastAsia" w:hAnsiTheme="minorEastAsia" w:cs="Arial" w:hint="eastAsia"/>
          <w:color w:val="040404"/>
          <w:kern w:val="0"/>
          <w:sz w:val="24"/>
          <w:szCs w:val="24"/>
        </w:rPr>
        <w:t>1.</w:t>
      </w:r>
      <w:r w:rsidR="00A4708A" w:rsidRPr="00E7309C">
        <w:rPr>
          <w:rFonts w:asciiTheme="minorEastAsia" w:hAnsiTheme="minorEastAsia" w:cs="Arial"/>
          <w:color w:val="040404"/>
          <w:kern w:val="0"/>
          <w:sz w:val="24"/>
          <w:szCs w:val="24"/>
        </w:rPr>
        <w:t>学业成绩学年排名</w:t>
      </w:r>
    </w:p>
    <w:p w:rsidR="00A4708A" w:rsidRPr="00E7309C" w:rsidRDefault="00E7309C" w:rsidP="00E7309C">
      <w:pPr>
        <w:widowControl/>
        <w:shd w:val="clear" w:color="auto" w:fill="FFFFFF"/>
        <w:spacing w:afterLines="50" w:line="460" w:lineRule="exact"/>
        <w:ind w:firstLine="480"/>
        <w:jc w:val="left"/>
        <w:rPr>
          <w:rFonts w:asciiTheme="minorEastAsia" w:hAnsiTheme="minorEastAsia" w:cs="Arial"/>
          <w:color w:val="040404"/>
          <w:kern w:val="0"/>
          <w:sz w:val="24"/>
          <w:szCs w:val="24"/>
        </w:rPr>
      </w:pPr>
      <w:r>
        <w:rPr>
          <w:rFonts w:asciiTheme="minorEastAsia" w:hAnsiTheme="minorEastAsia" w:cs="Arial"/>
          <w:color w:val="040404"/>
          <w:kern w:val="0"/>
          <w:sz w:val="24"/>
          <w:szCs w:val="24"/>
        </w:rPr>
        <w:t>学业成绩由教务处统一给出，采用</w:t>
      </w:r>
      <w:r w:rsidR="00A4708A" w:rsidRPr="00E7309C">
        <w:rPr>
          <w:rFonts w:asciiTheme="minorEastAsia" w:hAnsiTheme="minorEastAsia" w:cs="Arial"/>
          <w:color w:val="040404"/>
          <w:kern w:val="0"/>
          <w:sz w:val="24"/>
          <w:szCs w:val="24"/>
        </w:rPr>
        <w:t>主修专业课程</w:t>
      </w:r>
      <w:r>
        <w:rPr>
          <w:rFonts w:asciiTheme="minorEastAsia" w:hAnsiTheme="minorEastAsia" w:cs="Arial" w:hint="eastAsia"/>
          <w:color w:val="040404"/>
          <w:kern w:val="0"/>
          <w:sz w:val="24"/>
          <w:szCs w:val="24"/>
        </w:rPr>
        <w:t>学年</w:t>
      </w:r>
      <w:r>
        <w:rPr>
          <w:rFonts w:asciiTheme="minorEastAsia" w:hAnsiTheme="minorEastAsia" w:cs="Arial"/>
          <w:color w:val="040404"/>
          <w:kern w:val="0"/>
          <w:sz w:val="24"/>
          <w:szCs w:val="24"/>
        </w:rPr>
        <w:t>平均绩点、</w:t>
      </w:r>
      <w:r w:rsidR="00A4708A" w:rsidRPr="00E7309C">
        <w:rPr>
          <w:rFonts w:asciiTheme="minorEastAsia" w:hAnsiTheme="minorEastAsia" w:cs="Arial"/>
          <w:color w:val="040404"/>
          <w:kern w:val="0"/>
          <w:sz w:val="24"/>
          <w:szCs w:val="24"/>
        </w:rPr>
        <w:t>所有课程</w:t>
      </w:r>
      <w:r>
        <w:rPr>
          <w:rFonts w:asciiTheme="minorEastAsia" w:hAnsiTheme="minorEastAsia" w:cs="Arial" w:hint="eastAsia"/>
          <w:color w:val="040404"/>
          <w:kern w:val="0"/>
          <w:sz w:val="24"/>
          <w:szCs w:val="24"/>
        </w:rPr>
        <w:t>学年</w:t>
      </w:r>
      <w:r w:rsidR="00A4708A" w:rsidRPr="00E7309C">
        <w:rPr>
          <w:rFonts w:asciiTheme="minorEastAsia" w:hAnsiTheme="minorEastAsia" w:cs="Arial"/>
          <w:color w:val="040404"/>
          <w:kern w:val="0"/>
          <w:sz w:val="24"/>
          <w:szCs w:val="24"/>
        </w:rPr>
        <w:t>平均绩点、学年获得总学分三个主干数据进行的排名作为学生学年评奖、选优等依据。在一定的公示期内，进行公示。具体排名计算方法如下：</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学年排名值=（主修专业课程</w:t>
      </w:r>
      <w:r w:rsidR="00E7309C">
        <w:rPr>
          <w:rFonts w:asciiTheme="minorEastAsia" w:hAnsiTheme="minorEastAsia" w:cs="Arial" w:hint="eastAsia"/>
          <w:color w:val="040404"/>
          <w:kern w:val="0"/>
          <w:sz w:val="24"/>
          <w:szCs w:val="24"/>
        </w:rPr>
        <w:t>学年</w:t>
      </w:r>
      <w:r w:rsidRPr="00E7309C">
        <w:rPr>
          <w:rFonts w:asciiTheme="minorEastAsia" w:hAnsiTheme="minorEastAsia" w:cs="Arial"/>
          <w:color w:val="040404"/>
          <w:kern w:val="0"/>
          <w:sz w:val="24"/>
          <w:szCs w:val="24"/>
        </w:rPr>
        <w:t>平均绩点）*0.5+</w:t>
      </w:r>
      <w:r w:rsidR="00E7309C">
        <w:rPr>
          <w:rFonts w:asciiTheme="minorEastAsia" w:hAnsiTheme="minorEastAsia" w:cs="Arial"/>
          <w:color w:val="040404"/>
          <w:kern w:val="0"/>
          <w:sz w:val="24"/>
          <w:szCs w:val="24"/>
        </w:rPr>
        <w:t>（</w:t>
      </w:r>
      <w:r w:rsidRPr="00E7309C">
        <w:rPr>
          <w:rFonts w:asciiTheme="minorEastAsia" w:hAnsiTheme="minorEastAsia" w:cs="Arial"/>
          <w:color w:val="040404"/>
          <w:kern w:val="0"/>
          <w:sz w:val="24"/>
          <w:szCs w:val="24"/>
        </w:rPr>
        <w:t>所有课程</w:t>
      </w:r>
      <w:r w:rsidR="00E7309C">
        <w:rPr>
          <w:rFonts w:asciiTheme="minorEastAsia" w:hAnsiTheme="minorEastAsia" w:cs="Arial" w:hint="eastAsia"/>
          <w:color w:val="040404"/>
          <w:kern w:val="0"/>
          <w:sz w:val="24"/>
          <w:szCs w:val="24"/>
        </w:rPr>
        <w:t>学年</w:t>
      </w:r>
      <w:r w:rsidRPr="00E7309C">
        <w:rPr>
          <w:rFonts w:asciiTheme="minorEastAsia" w:hAnsiTheme="minorEastAsia" w:cs="Arial"/>
          <w:color w:val="040404"/>
          <w:kern w:val="0"/>
          <w:sz w:val="24"/>
          <w:szCs w:val="24"/>
        </w:rPr>
        <w:t>平均绩点)*0.3+（总学分）*0.01</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b/>
          <w:bCs/>
          <w:color w:val="040404"/>
          <w:kern w:val="0"/>
          <w:sz w:val="24"/>
          <w:szCs w:val="24"/>
        </w:rPr>
        <w:t>注：</w:t>
      </w:r>
      <w:r w:rsidRPr="00E7309C">
        <w:rPr>
          <w:rFonts w:asciiTheme="minorEastAsia" w:hAnsiTheme="minorEastAsia" w:cs="Arial"/>
          <w:color w:val="040404"/>
          <w:kern w:val="0"/>
          <w:sz w:val="24"/>
          <w:szCs w:val="24"/>
        </w:rPr>
        <w:t>排名方法相当于多修一个学分多0.01，主修专业平均多考一分多0.05，所有课程平均多考一分多0.03</w:t>
      </w:r>
    </w:p>
    <w:p w:rsidR="00A4708A" w:rsidRPr="00E7309C" w:rsidRDefault="00C75061" w:rsidP="00C75061">
      <w:pPr>
        <w:widowControl/>
        <w:shd w:val="clear" w:color="auto" w:fill="FFFFFF"/>
        <w:spacing w:afterLines="50" w:line="460" w:lineRule="exact"/>
        <w:ind w:leftChars="171" w:left="359" w:firstLineChars="50" w:firstLine="120"/>
        <w:jc w:val="left"/>
        <w:rPr>
          <w:rFonts w:asciiTheme="minorEastAsia" w:hAnsiTheme="minorEastAsia" w:cs="Arial"/>
          <w:color w:val="040404"/>
          <w:kern w:val="0"/>
          <w:sz w:val="24"/>
          <w:szCs w:val="24"/>
        </w:rPr>
      </w:pPr>
      <w:r>
        <w:rPr>
          <w:rFonts w:asciiTheme="minorEastAsia" w:hAnsiTheme="minorEastAsia" w:cs="Arial" w:hint="eastAsia"/>
          <w:color w:val="040404"/>
          <w:kern w:val="0"/>
          <w:sz w:val="24"/>
          <w:szCs w:val="24"/>
        </w:rPr>
        <w:t>2.</w:t>
      </w:r>
      <w:r w:rsidR="00A4708A" w:rsidRPr="00E7309C">
        <w:rPr>
          <w:rFonts w:asciiTheme="minorEastAsia" w:hAnsiTheme="minorEastAsia" w:cs="Arial"/>
          <w:color w:val="040404"/>
          <w:kern w:val="0"/>
          <w:sz w:val="24"/>
          <w:szCs w:val="24"/>
        </w:rPr>
        <w:t>研究创新学年排名</w:t>
      </w:r>
    </w:p>
    <w:p w:rsidR="00A4708A" w:rsidRPr="00E7309C" w:rsidRDefault="00A4708A" w:rsidP="00E7309C">
      <w:pPr>
        <w:widowControl/>
        <w:shd w:val="clear" w:color="auto" w:fill="FFFFFF"/>
        <w:spacing w:afterLines="50" w:line="460" w:lineRule="exact"/>
        <w:ind w:firstLine="48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研究创新包括学科竞赛、</w:t>
      </w:r>
      <w:r w:rsidRPr="001A7F4D">
        <w:rPr>
          <w:rFonts w:asciiTheme="minorEastAsia" w:hAnsiTheme="minorEastAsia" w:cs="Arial"/>
          <w:color w:val="000000" w:themeColor="text1"/>
          <w:kern w:val="0"/>
          <w:sz w:val="24"/>
          <w:szCs w:val="24"/>
        </w:rPr>
        <w:t>科研训练、学术研究成果等方面，没有获得分数的学</w:t>
      </w:r>
      <w:r w:rsidR="001A7F4D" w:rsidRPr="001A7F4D">
        <w:rPr>
          <w:rFonts w:asciiTheme="minorEastAsia" w:hAnsiTheme="minorEastAsia" w:cs="Arial" w:hint="eastAsia"/>
          <w:color w:val="000000" w:themeColor="text1"/>
          <w:kern w:val="0"/>
          <w:sz w:val="24"/>
          <w:szCs w:val="24"/>
        </w:rPr>
        <w:t>生</w:t>
      </w:r>
      <w:r w:rsidRPr="001A7F4D">
        <w:rPr>
          <w:rFonts w:asciiTheme="minorEastAsia" w:hAnsiTheme="minorEastAsia" w:cs="Arial"/>
          <w:color w:val="000000" w:themeColor="text1"/>
          <w:kern w:val="0"/>
          <w:sz w:val="24"/>
          <w:szCs w:val="24"/>
        </w:rPr>
        <w:t>按照</w:t>
      </w:r>
      <w:r w:rsidR="001A7F4D" w:rsidRPr="001A7F4D">
        <w:rPr>
          <w:rFonts w:asciiTheme="minorEastAsia" w:hAnsiTheme="minorEastAsia" w:cs="Arial" w:hint="eastAsia"/>
          <w:color w:val="000000" w:themeColor="text1"/>
          <w:kern w:val="0"/>
          <w:sz w:val="24"/>
          <w:szCs w:val="24"/>
        </w:rPr>
        <w:t>(</w:t>
      </w:r>
      <w:r w:rsidRPr="001A7F4D">
        <w:rPr>
          <w:rFonts w:asciiTheme="minorEastAsia" w:hAnsiTheme="minorEastAsia" w:cs="Arial"/>
          <w:color w:val="000000" w:themeColor="text1"/>
          <w:kern w:val="0"/>
          <w:sz w:val="24"/>
          <w:szCs w:val="24"/>
        </w:rPr>
        <w:t>获得分数学生的最后1名名次+1）</w:t>
      </w:r>
      <w:r w:rsidRPr="00E7309C">
        <w:rPr>
          <w:rFonts w:asciiTheme="minorEastAsia" w:hAnsiTheme="minorEastAsia" w:cs="Arial"/>
          <w:color w:val="040404"/>
          <w:kern w:val="0"/>
          <w:sz w:val="24"/>
          <w:szCs w:val="24"/>
        </w:rPr>
        <w:t>计算排名。学生研究创新评价分数见下表：</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a.学科竞赛</w:t>
      </w:r>
    </w:p>
    <w:tbl>
      <w:tblPr>
        <w:tblW w:w="8580" w:type="dxa"/>
        <w:shd w:val="clear" w:color="auto" w:fill="FFFFFF"/>
        <w:tblCellMar>
          <w:left w:w="0" w:type="dxa"/>
          <w:right w:w="0" w:type="dxa"/>
        </w:tblCellMar>
        <w:tblLook w:val="04A0"/>
      </w:tblPr>
      <w:tblGrid>
        <w:gridCol w:w="1347"/>
        <w:gridCol w:w="1424"/>
        <w:gridCol w:w="2126"/>
        <w:gridCol w:w="1841"/>
        <w:gridCol w:w="1842"/>
      </w:tblGrid>
      <w:tr w:rsidR="00A4708A" w:rsidRPr="00E7309C" w:rsidTr="00A4708A">
        <w:tc>
          <w:tcPr>
            <w:tcW w:w="135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项目</w:t>
            </w:r>
          </w:p>
        </w:tc>
        <w:tc>
          <w:tcPr>
            <w:tcW w:w="1425"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级别</w:t>
            </w:r>
          </w:p>
        </w:tc>
        <w:tc>
          <w:tcPr>
            <w:tcW w:w="21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获奖项内容</w:t>
            </w:r>
          </w:p>
        </w:tc>
        <w:tc>
          <w:tcPr>
            <w:tcW w:w="1845"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分数</w:t>
            </w:r>
          </w:p>
        </w:tc>
        <w:tc>
          <w:tcPr>
            <w:tcW w:w="1845"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备注</w:t>
            </w:r>
          </w:p>
        </w:tc>
      </w:tr>
      <w:tr w:rsidR="00A4708A" w:rsidRPr="00E7309C" w:rsidTr="00A4708A">
        <w:tc>
          <w:tcPr>
            <w:tcW w:w="1350" w:type="dxa"/>
            <w:vMerge w:val="restart"/>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学</w:t>
            </w:r>
          </w:p>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lastRenderedPageBreak/>
              <w:t>科</w:t>
            </w:r>
          </w:p>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竞</w:t>
            </w:r>
          </w:p>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赛</w:t>
            </w:r>
          </w:p>
        </w:tc>
        <w:tc>
          <w:tcPr>
            <w:tcW w:w="1425" w:type="dxa"/>
            <w:vMerge w:val="restart"/>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lastRenderedPageBreak/>
              <w:t>国际、亚洲、</w:t>
            </w:r>
            <w:r w:rsidRPr="00E7309C">
              <w:rPr>
                <w:rFonts w:asciiTheme="minorEastAsia" w:hAnsiTheme="minorEastAsia" w:cs="宋体" w:hint="eastAsia"/>
                <w:color w:val="000000"/>
                <w:kern w:val="0"/>
                <w:sz w:val="24"/>
                <w:szCs w:val="24"/>
              </w:rPr>
              <w:lastRenderedPageBreak/>
              <w:t>国家级</w:t>
            </w:r>
          </w:p>
        </w:tc>
        <w:tc>
          <w:tcPr>
            <w:tcW w:w="21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lastRenderedPageBreak/>
              <w:t>特等奖</w:t>
            </w:r>
          </w:p>
        </w:tc>
        <w:tc>
          <w:tcPr>
            <w:tcW w:w="1845"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5分</w:t>
            </w:r>
          </w:p>
        </w:tc>
        <w:tc>
          <w:tcPr>
            <w:tcW w:w="1845" w:type="dxa"/>
            <w:vMerge w:val="restart"/>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以名次计奖的竞</w:t>
            </w:r>
            <w:r w:rsidRPr="00E7309C">
              <w:rPr>
                <w:rFonts w:asciiTheme="minorEastAsia" w:hAnsiTheme="minorEastAsia" w:cs="宋体" w:hint="eastAsia"/>
                <w:color w:val="000000"/>
                <w:kern w:val="0"/>
                <w:sz w:val="24"/>
                <w:szCs w:val="24"/>
              </w:rPr>
              <w:lastRenderedPageBreak/>
              <w:t>赛项目，获得第1名至3名等同于相应竞赛一等奖；第4名至6名等同于二等奖；第7名至12名等同于三等奖。</w:t>
            </w:r>
          </w:p>
        </w:tc>
      </w:tr>
      <w:tr w:rsidR="00A4708A" w:rsidRPr="00E7309C" w:rsidTr="00A4708A">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c>
          <w:tcPr>
            <w:tcW w:w="21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一等奖</w:t>
            </w:r>
          </w:p>
        </w:tc>
        <w:tc>
          <w:tcPr>
            <w:tcW w:w="1845"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4分</w:t>
            </w: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r>
      <w:tr w:rsidR="00A4708A" w:rsidRPr="00E7309C" w:rsidTr="00A4708A">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c>
          <w:tcPr>
            <w:tcW w:w="21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二等奖、三等奖、单项奖</w:t>
            </w:r>
          </w:p>
        </w:tc>
        <w:tc>
          <w:tcPr>
            <w:tcW w:w="1845"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3分</w:t>
            </w: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r>
      <w:tr w:rsidR="00A4708A" w:rsidRPr="00E7309C" w:rsidTr="00A4708A">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c>
          <w:tcPr>
            <w:tcW w:w="21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鼓励奖或优胜奖</w:t>
            </w:r>
          </w:p>
        </w:tc>
        <w:tc>
          <w:tcPr>
            <w:tcW w:w="1845"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2分</w:t>
            </w: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r>
      <w:tr w:rsidR="00A4708A" w:rsidRPr="00E7309C" w:rsidTr="00A4708A">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c>
          <w:tcPr>
            <w:tcW w:w="1425" w:type="dxa"/>
            <w:vMerge w:val="restart"/>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省(部)、</w:t>
            </w:r>
          </w:p>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校级</w:t>
            </w:r>
          </w:p>
        </w:tc>
        <w:tc>
          <w:tcPr>
            <w:tcW w:w="21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特等奖</w:t>
            </w:r>
          </w:p>
        </w:tc>
        <w:tc>
          <w:tcPr>
            <w:tcW w:w="1845"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4分</w:t>
            </w: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r>
      <w:tr w:rsidR="00A4708A" w:rsidRPr="00E7309C" w:rsidTr="00A4708A">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c>
          <w:tcPr>
            <w:tcW w:w="21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一等奖</w:t>
            </w:r>
          </w:p>
        </w:tc>
        <w:tc>
          <w:tcPr>
            <w:tcW w:w="1845"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3分</w:t>
            </w: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r>
      <w:tr w:rsidR="00A4708A" w:rsidRPr="00E7309C" w:rsidTr="00A4708A">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c>
          <w:tcPr>
            <w:tcW w:w="21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二等奖、三等奖、单项奖</w:t>
            </w:r>
          </w:p>
        </w:tc>
        <w:tc>
          <w:tcPr>
            <w:tcW w:w="1845"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2分</w:t>
            </w: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r>
      <w:tr w:rsidR="00A4708A" w:rsidRPr="00E7309C" w:rsidTr="00A4708A">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c>
          <w:tcPr>
            <w:tcW w:w="1425" w:type="dxa"/>
            <w:vMerge w:val="restart"/>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院（系）、学会（协会、行业等）级</w:t>
            </w:r>
          </w:p>
        </w:tc>
        <w:tc>
          <w:tcPr>
            <w:tcW w:w="21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特等奖</w:t>
            </w:r>
          </w:p>
        </w:tc>
        <w:tc>
          <w:tcPr>
            <w:tcW w:w="1845"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2分</w:t>
            </w: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r>
      <w:tr w:rsidR="00A4708A" w:rsidRPr="00E7309C" w:rsidTr="00A4708A">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c>
          <w:tcPr>
            <w:tcW w:w="21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等级奖（一、二、三等）、单项奖</w:t>
            </w:r>
          </w:p>
        </w:tc>
        <w:tc>
          <w:tcPr>
            <w:tcW w:w="1845"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1分</w:t>
            </w: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r>
    </w:tbl>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注：参加同一项目的竞赛按最高级计分。</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b.科研训练</w:t>
      </w:r>
    </w:p>
    <w:tbl>
      <w:tblPr>
        <w:tblW w:w="8760" w:type="dxa"/>
        <w:shd w:val="clear" w:color="auto" w:fill="FFFFFF"/>
        <w:tblCellMar>
          <w:left w:w="0" w:type="dxa"/>
          <w:right w:w="0" w:type="dxa"/>
        </w:tblCellMar>
        <w:tblLook w:val="04A0"/>
      </w:tblPr>
      <w:tblGrid>
        <w:gridCol w:w="1530"/>
        <w:gridCol w:w="1560"/>
        <w:gridCol w:w="945"/>
        <w:gridCol w:w="2730"/>
        <w:gridCol w:w="1995"/>
      </w:tblGrid>
      <w:tr w:rsidR="00A4708A" w:rsidRPr="00E7309C" w:rsidTr="00A4708A">
        <w:tc>
          <w:tcPr>
            <w:tcW w:w="15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计分项目</w:t>
            </w:r>
          </w:p>
        </w:tc>
        <w:tc>
          <w:tcPr>
            <w:tcW w:w="156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计分对象</w:t>
            </w:r>
          </w:p>
        </w:tc>
        <w:tc>
          <w:tcPr>
            <w:tcW w:w="945"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分数</w:t>
            </w:r>
          </w:p>
        </w:tc>
        <w:tc>
          <w:tcPr>
            <w:tcW w:w="27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计分要求</w:t>
            </w:r>
          </w:p>
        </w:tc>
        <w:tc>
          <w:tcPr>
            <w:tcW w:w="1995"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备注</w:t>
            </w:r>
          </w:p>
        </w:tc>
      </w:tr>
      <w:tr w:rsidR="00A4708A" w:rsidRPr="00E7309C" w:rsidTr="00A4708A">
        <w:tc>
          <w:tcPr>
            <w:tcW w:w="15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立项分</w:t>
            </w:r>
          </w:p>
        </w:tc>
        <w:tc>
          <w:tcPr>
            <w:tcW w:w="156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仅限项目负责人1人</w:t>
            </w:r>
          </w:p>
        </w:tc>
        <w:tc>
          <w:tcPr>
            <w:tcW w:w="945"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1分</w:t>
            </w:r>
          </w:p>
        </w:tc>
        <w:tc>
          <w:tcPr>
            <w:tcW w:w="27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1.申报项目获批立项</w:t>
            </w:r>
          </w:p>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2.项目达到立项要求，通过最终结题答辩</w:t>
            </w:r>
          </w:p>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3．未组织实施的不记分</w:t>
            </w:r>
          </w:p>
        </w:tc>
        <w:tc>
          <w:tcPr>
            <w:tcW w:w="1995" w:type="dxa"/>
            <w:vMerge w:val="restart"/>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项目结题合格后省级（含）以上科研项目按实际计算，校院级减半计算分数。</w:t>
            </w:r>
          </w:p>
        </w:tc>
      </w:tr>
      <w:tr w:rsidR="00A4708A" w:rsidRPr="00E7309C" w:rsidTr="00A4708A">
        <w:tc>
          <w:tcPr>
            <w:tcW w:w="15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项目研究分</w:t>
            </w:r>
          </w:p>
        </w:tc>
        <w:tc>
          <w:tcPr>
            <w:tcW w:w="156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项目负责人及其他参加者（参加者不得超过3人）</w:t>
            </w:r>
          </w:p>
        </w:tc>
        <w:tc>
          <w:tcPr>
            <w:tcW w:w="945"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2分</w:t>
            </w:r>
          </w:p>
        </w:tc>
        <w:tc>
          <w:tcPr>
            <w:tcW w:w="27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必须实际参与项目研究全过程中的各分工环节，未参加的不记分</w:t>
            </w: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r>
      <w:tr w:rsidR="00A4708A" w:rsidRPr="00E7309C" w:rsidTr="00A4708A">
        <w:tc>
          <w:tcPr>
            <w:tcW w:w="15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lastRenderedPageBreak/>
              <w:t>结题答辩分</w:t>
            </w:r>
          </w:p>
        </w:tc>
        <w:tc>
          <w:tcPr>
            <w:tcW w:w="156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项目负责人及其他参加者（参加者不得超过3人）</w:t>
            </w:r>
          </w:p>
        </w:tc>
        <w:tc>
          <w:tcPr>
            <w:tcW w:w="945"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1分</w:t>
            </w:r>
          </w:p>
        </w:tc>
        <w:tc>
          <w:tcPr>
            <w:tcW w:w="27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课题组全体人员参加并通过结题答辩，未参加的不记分</w:t>
            </w: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r>
    </w:tbl>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c.学术研究成果（参照浙江大学人事处发最新版学术期刊目录）</w:t>
      </w:r>
    </w:p>
    <w:tbl>
      <w:tblPr>
        <w:tblW w:w="9000" w:type="dxa"/>
        <w:shd w:val="clear" w:color="auto" w:fill="FFFFFF"/>
        <w:tblCellMar>
          <w:left w:w="0" w:type="dxa"/>
          <w:right w:w="0" w:type="dxa"/>
        </w:tblCellMar>
        <w:tblLook w:val="04A0"/>
      </w:tblPr>
      <w:tblGrid>
        <w:gridCol w:w="779"/>
        <w:gridCol w:w="4103"/>
        <w:gridCol w:w="1992"/>
        <w:gridCol w:w="2126"/>
      </w:tblGrid>
      <w:tr w:rsidR="00A4708A" w:rsidRPr="00E7309C" w:rsidTr="00A4708A">
        <w:tc>
          <w:tcPr>
            <w:tcW w:w="78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项目</w:t>
            </w:r>
          </w:p>
        </w:tc>
        <w:tc>
          <w:tcPr>
            <w:tcW w:w="6105" w:type="dxa"/>
            <w:gridSpan w:val="2"/>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获奖名称和等级</w:t>
            </w:r>
          </w:p>
        </w:tc>
        <w:tc>
          <w:tcPr>
            <w:tcW w:w="21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分数</w:t>
            </w:r>
          </w:p>
        </w:tc>
      </w:tr>
      <w:tr w:rsidR="00A4708A" w:rsidRPr="00E7309C" w:rsidTr="00A4708A">
        <w:tc>
          <w:tcPr>
            <w:tcW w:w="780" w:type="dxa"/>
            <w:vMerge w:val="restart"/>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论</w:t>
            </w:r>
          </w:p>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文</w:t>
            </w:r>
          </w:p>
        </w:tc>
        <w:tc>
          <w:tcPr>
            <w:tcW w:w="411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国内外SCI、SSCI收录论文和国内一级学术刊物论文</w:t>
            </w:r>
          </w:p>
        </w:tc>
        <w:tc>
          <w:tcPr>
            <w:tcW w:w="198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第一作者</w:t>
            </w:r>
          </w:p>
        </w:tc>
        <w:tc>
          <w:tcPr>
            <w:tcW w:w="21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10分</w:t>
            </w:r>
          </w:p>
        </w:tc>
      </w:tr>
      <w:tr w:rsidR="00A4708A" w:rsidRPr="00E7309C" w:rsidTr="00A4708A">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c>
          <w:tcPr>
            <w:tcW w:w="411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国内外EI收录论文和浙江大学学报</w:t>
            </w:r>
          </w:p>
        </w:tc>
        <w:tc>
          <w:tcPr>
            <w:tcW w:w="198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第一作者</w:t>
            </w:r>
          </w:p>
        </w:tc>
        <w:tc>
          <w:tcPr>
            <w:tcW w:w="21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8分</w:t>
            </w:r>
          </w:p>
        </w:tc>
      </w:tr>
      <w:tr w:rsidR="00A4708A" w:rsidRPr="00E7309C" w:rsidTr="00A4708A">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c>
          <w:tcPr>
            <w:tcW w:w="411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二级学术刊物论文和国内外ISTP收录论文</w:t>
            </w:r>
          </w:p>
        </w:tc>
        <w:tc>
          <w:tcPr>
            <w:tcW w:w="198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第一作者</w:t>
            </w:r>
          </w:p>
        </w:tc>
        <w:tc>
          <w:tcPr>
            <w:tcW w:w="21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4分</w:t>
            </w:r>
          </w:p>
        </w:tc>
      </w:tr>
      <w:tr w:rsidR="00A4708A" w:rsidRPr="00E7309C" w:rsidTr="00A4708A">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c>
          <w:tcPr>
            <w:tcW w:w="411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国际学术会议论文</w:t>
            </w:r>
          </w:p>
        </w:tc>
        <w:tc>
          <w:tcPr>
            <w:tcW w:w="198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第一作者</w:t>
            </w:r>
          </w:p>
        </w:tc>
        <w:tc>
          <w:tcPr>
            <w:tcW w:w="21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2分</w:t>
            </w:r>
          </w:p>
        </w:tc>
      </w:tr>
      <w:tr w:rsidR="00A4708A" w:rsidRPr="00E7309C" w:rsidTr="00A4708A">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c>
          <w:tcPr>
            <w:tcW w:w="8220" w:type="dxa"/>
            <w:gridSpan w:val="3"/>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第二作者以下以各级第一作者得分，依次乘以调节系数90%,80%,70%,60%后圆整记分（不做四舍五入）保留小数点后一位数字，以0.5为界限，如：0.1-0.4则取0； 0.5-0.9则取0.5。</w:t>
            </w:r>
          </w:p>
        </w:tc>
      </w:tr>
      <w:tr w:rsidR="00A4708A" w:rsidRPr="00E7309C" w:rsidTr="00A4708A">
        <w:tc>
          <w:tcPr>
            <w:tcW w:w="780" w:type="dxa"/>
            <w:vMerge w:val="restart"/>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专</w:t>
            </w:r>
          </w:p>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利</w:t>
            </w:r>
          </w:p>
        </w:tc>
        <w:tc>
          <w:tcPr>
            <w:tcW w:w="411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发明专利</w:t>
            </w:r>
          </w:p>
        </w:tc>
        <w:tc>
          <w:tcPr>
            <w:tcW w:w="198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第一专利人</w:t>
            </w:r>
          </w:p>
        </w:tc>
        <w:tc>
          <w:tcPr>
            <w:tcW w:w="21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5分</w:t>
            </w:r>
          </w:p>
        </w:tc>
      </w:tr>
      <w:tr w:rsidR="00A4708A" w:rsidRPr="00E7309C" w:rsidTr="00A4708A">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c>
          <w:tcPr>
            <w:tcW w:w="411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实用新型专利</w:t>
            </w:r>
          </w:p>
        </w:tc>
        <w:tc>
          <w:tcPr>
            <w:tcW w:w="198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第一专利人</w:t>
            </w:r>
          </w:p>
        </w:tc>
        <w:tc>
          <w:tcPr>
            <w:tcW w:w="21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4分</w:t>
            </w:r>
          </w:p>
        </w:tc>
      </w:tr>
      <w:tr w:rsidR="00A4708A" w:rsidRPr="00E7309C" w:rsidTr="00A4708A">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c>
          <w:tcPr>
            <w:tcW w:w="411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专利转让</w:t>
            </w:r>
          </w:p>
        </w:tc>
        <w:tc>
          <w:tcPr>
            <w:tcW w:w="198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第一专利人</w:t>
            </w:r>
          </w:p>
        </w:tc>
        <w:tc>
          <w:tcPr>
            <w:tcW w:w="21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3分</w:t>
            </w:r>
          </w:p>
        </w:tc>
      </w:tr>
      <w:tr w:rsidR="00A4708A" w:rsidRPr="00E7309C" w:rsidTr="00A4708A">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c>
          <w:tcPr>
            <w:tcW w:w="8220" w:type="dxa"/>
            <w:gridSpan w:val="3"/>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以上为授权专利，第二专利人以下以各级第一专利人得分，依次乘以调节系数90%,80%,70%,60%后圆整计分（不做四舍五入）保留小数点后一位数字，以0.5为界限。如：0.1-0.4则取0； 0.5-0.9则取0.5，在受理专利阶段，发明专利、使用新型专利和专利转让分别为3分、2分和1分。</w:t>
            </w:r>
          </w:p>
        </w:tc>
      </w:tr>
      <w:tr w:rsidR="00A4708A" w:rsidRPr="00E7309C" w:rsidTr="00A4708A">
        <w:tc>
          <w:tcPr>
            <w:tcW w:w="780" w:type="dxa"/>
            <w:vMerge w:val="restart"/>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产品</w:t>
            </w:r>
          </w:p>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lastRenderedPageBreak/>
              <w:t>软件</w:t>
            </w:r>
          </w:p>
          <w:p w:rsidR="00A4708A" w:rsidRPr="00E7309C" w:rsidRDefault="00A4708A" w:rsidP="00E7309C">
            <w:pPr>
              <w:widowControl/>
              <w:spacing w:afterLines="50" w:line="460" w:lineRule="exact"/>
              <w:jc w:val="center"/>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课件</w:t>
            </w:r>
          </w:p>
        </w:tc>
        <w:tc>
          <w:tcPr>
            <w:tcW w:w="411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lastRenderedPageBreak/>
              <w:t>技术转让</w:t>
            </w:r>
          </w:p>
        </w:tc>
        <w:tc>
          <w:tcPr>
            <w:tcW w:w="198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第一转让人</w:t>
            </w:r>
          </w:p>
        </w:tc>
        <w:tc>
          <w:tcPr>
            <w:tcW w:w="21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5分</w:t>
            </w:r>
          </w:p>
        </w:tc>
      </w:tr>
      <w:tr w:rsidR="00A4708A" w:rsidRPr="00E7309C" w:rsidTr="00A4708A">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c>
          <w:tcPr>
            <w:tcW w:w="411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开发转让</w:t>
            </w:r>
          </w:p>
        </w:tc>
        <w:tc>
          <w:tcPr>
            <w:tcW w:w="198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第一开发人</w:t>
            </w:r>
          </w:p>
        </w:tc>
        <w:tc>
          <w:tcPr>
            <w:tcW w:w="21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4分</w:t>
            </w:r>
          </w:p>
        </w:tc>
      </w:tr>
      <w:tr w:rsidR="00A4708A" w:rsidRPr="00E7309C" w:rsidTr="00A4708A">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c>
          <w:tcPr>
            <w:tcW w:w="411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一般性研制</w:t>
            </w:r>
          </w:p>
        </w:tc>
        <w:tc>
          <w:tcPr>
            <w:tcW w:w="198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第一研制人</w:t>
            </w:r>
          </w:p>
        </w:tc>
        <w:tc>
          <w:tcPr>
            <w:tcW w:w="2130"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3分</w:t>
            </w:r>
          </w:p>
        </w:tc>
      </w:tr>
      <w:tr w:rsidR="00A4708A" w:rsidRPr="00E7309C" w:rsidTr="00A4708A">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p>
        </w:tc>
        <w:tc>
          <w:tcPr>
            <w:tcW w:w="8220" w:type="dxa"/>
            <w:gridSpan w:val="3"/>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15" w:type="dxa"/>
              <w:right w:w="15" w:type="dxa"/>
            </w:tcMar>
            <w:hideMark/>
          </w:tcPr>
          <w:p w:rsidR="00A4708A" w:rsidRPr="00E7309C" w:rsidRDefault="00A4708A" w:rsidP="00E7309C">
            <w:pPr>
              <w:widowControl/>
              <w:spacing w:afterLines="50" w:line="460" w:lineRule="exact"/>
              <w:jc w:val="left"/>
              <w:rPr>
                <w:rFonts w:asciiTheme="minorEastAsia" w:hAnsiTheme="minorEastAsia" w:cs="宋体"/>
                <w:color w:val="040404"/>
                <w:kern w:val="0"/>
                <w:sz w:val="24"/>
                <w:szCs w:val="24"/>
              </w:rPr>
            </w:pPr>
            <w:r w:rsidRPr="00E7309C">
              <w:rPr>
                <w:rFonts w:asciiTheme="minorEastAsia" w:hAnsiTheme="minorEastAsia" w:cs="宋体" w:hint="eastAsia"/>
                <w:color w:val="000000"/>
                <w:kern w:val="0"/>
                <w:sz w:val="24"/>
                <w:szCs w:val="24"/>
              </w:rPr>
              <w:t>第二名以下以第一名得分，依次乘以调节系数90%,80%,70%,60%后圆整计分（不做四舍五入）保留小数点后一位数字，以0.5为界限，如：0.1-0.4则取0；0.5-0.9则取0.5。</w:t>
            </w:r>
          </w:p>
        </w:tc>
      </w:tr>
    </w:tbl>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b/>
          <w:bCs/>
          <w:color w:val="040404"/>
          <w:kern w:val="0"/>
          <w:sz w:val="24"/>
          <w:szCs w:val="24"/>
        </w:rPr>
        <w:t>二、思想等级评定</w:t>
      </w:r>
    </w:p>
    <w:p w:rsidR="00A4708A" w:rsidRPr="00E7309C" w:rsidRDefault="00A4708A" w:rsidP="00E7309C">
      <w:pPr>
        <w:widowControl/>
        <w:shd w:val="clear" w:color="auto" w:fill="FFFFFF"/>
        <w:spacing w:afterLines="50" w:line="460" w:lineRule="exact"/>
        <w:ind w:firstLine="42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按照《浙江大学本科学生综合素质实施办法》执行。具体评价实施细则参见《数学科学学院本科生综合考评实施方法》。</w:t>
      </w:r>
    </w:p>
    <w:p w:rsidR="00A4708A" w:rsidRPr="00E7309C" w:rsidRDefault="00A4708A" w:rsidP="00E7309C">
      <w:pPr>
        <w:widowControl/>
        <w:shd w:val="clear" w:color="auto" w:fill="FFFFFF"/>
        <w:spacing w:afterLines="50" w:line="460" w:lineRule="exact"/>
        <w:ind w:left="420" w:hanging="420"/>
        <w:jc w:val="left"/>
        <w:rPr>
          <w:rFonts w:asciiTheme="minorEastAsia" w:hAnsiTheme="minorEastAsia" w:cs="Arial"/>
          <w:color w:val="040404"/>
          <w:kern w:val="0"/>
          <w:sz w:val="24"/>
          <w:szCs w:val="24"/>
        </w:rPr>
      </w:pPr>
      <w:r w:rsidRPr="00E7309C">
        <w:rPr>
          <w:rFonts w:asciiTheme="minorEastAsia" w:hAnsiTheme="minorEastAsia" w:cs="Arial"/>
          <w:b/>
          <w:bCs/>
          <w:color w:val="040404"/>
          <w:kern w:val="0"/>
          <w:sz w:val="24"/>
          <w:szCs w:val="24"/>
        </w:rPr>
        <w:t>1. 德育纪实考评（85％）</w:t>
      </w:r>
    </w:p>
    <w:p w:rsidR="00A4708A" w:rsidRPr="00E7309C" w:rsidRDefault="00A4708A" w:rsidP="00E7309C">
      <w:pPr>
        <w:widowControl/>
        <w:shd w:val="clear" w:color="auto" w:fill="FFFFFF"/>
        <w:spacing w:afterLines="50" w:line="460" w:lineRule="exact"/>
        <w:ind w:firstLine="42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德育纪实考评具体流程如下：</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（1）数学学院审定并下发德育纪实考评评价表</w:t>
      </w:r>
    </w:p>
    <w:p w:rsidR="00A4708A" w:rsidRPr="00E7309C" w:rsidRDefault="00A4708A" w:rsidP="00E7309C">
      <w:pPr>
        <w:widowControl/>
        <w:shd w:val="clear" w:color="auto" w:fill="FFFFFF"/>
        <w:spacing w:afterLines="50" w:line="460" w:lineRule="exact"/>
        <w:ind w:firstLine="48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数学学院提前审定项目并印发给每位同学。</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（2）个人申报</w:t>
      </w:r>
    </w:p>
    <w:p w:rsidR="00A4708A" w:rsidRPr="00E7309C" w:rsidRDefault="00A4708A" w:rsidP="00E7309C">
      <w:pPr>
        <w:widowControl/>
        <w:shd w:val="clear" w:color="auto" w:fill="FFFFFF"/>
        <w:spacing w:afterLines="50" w:line="460" w:lineRule="exact"/>
        <w:ind w:firstLine="48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个人根据自身表现，填写德育纪实考评评价表并提供证明材料。</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（3）班团考评小组汇总、初审</w:t>
      </w:r>
    </w:p>
    <w:p w:rsidR="00A4708A" w:rsidRPr="00E7309C" w:rsidRDefault="00A4708A" w:rsidP="00E7309C">
      <w:pPr>
        <w:widowControl/>
        <w:shd w:val="clear" w:color="auto" w:fill="FFFFFF"/>
        <w:spacing w:afterLines="50" w:line="460" w:lineRule="exact"/>
        <w:ind w:firstLine="48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根据项目分类所列，汇总、登记班内同学各项分数，审核所报项目真实、合理性。</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（4）班内第一次公示</w:t>
      </w:r>
    </w:p>
    <w:p w:rsidR="00A4708A" w:rsidRPr="00E7309C" w:rsidRDefault="00A4708A" w:rsidP="00E7309C">
      <w:pPr>
        <w:widowControl/>
        <w:shd w:val="clear" w:color="auto" w:fill="FFFFFF"/>
        <w:spacing w:afterLines="50" w:line="460" w:lineRule="exact"/>
        <w:ind w:firstLine="48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班团考评小组在上报前将结果在班内公示，接受同学监督。保证信息公开，结果公平、公正。</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（5）初评结果上交学院测评工作组审核</w:t>
      </w:r>
    </w:p>
    <w:p w:rsidR="00A4708A" w:rsidRPr="00E7309C" w:rsidRDefault="00A4708A" w:rsidP="00E7309C">
      <w:pPr>
        <w:widowControl/>
        <w:shd w:val="clear" w:color="auto" w:fill="FFFFFF"/>
        <w:spacing w:afterLines="50" w:line="460" w:lineRule="exact"/>
        <w:ind w:firstLine="48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要求上交电子稿及书面稿一份，学院综合测评工作组将根据学院制定的评分细则对各班初评结果进行审核。</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lastRenderedPageBreak/>
        <w:t>（6）班级公示</w:t>
      </w:r>
    </w:p>
    <w:p w:rsidR="00A4708A" w:rsidRPr="00E7309C" w:rsidRDefault="00A4708A" w:rsidP="00E7309C">
      <w:pPr>
        <w:widowControl/>
        <w:shd w:val="clear" w:color="auto" w:fill="FFFFFF"/>
        <w:spacing w:afterLines="50" w:line="460" w:lineRule="exact"/>
        <w:ind w:firstLine="48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学院将审核后的最后结果通过各班班长或团支书进行全班公示。</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（7）公示结果反馈</w:t>
      </w:r>
    </w:p>
    <w:p w:rsidR="00A4708A" w:rsidRPr="00E7309C" w:rsidRDefault="00A4708A" w:rsidP="00E7309C">
      <w:pPr>
        <w:widowControl/>
        <w:shd w:val="clear" w:color="auto" w:fill="FFFFFF"/>
        <w:spacing w:afterLines="50" w:line="460" w:lineRule="exact"/>
        <w:ind w:firstLine="48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在一定的公示期内，进行全学院公示。参评个人可以向各班考评小组反馈意见，由各班考评小组负责人(班级团支书)统一向系测评工作组反映。有重大意见，也可直接向测评工作组负责人或院领导小组反映。</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（8）学院评定</w:t>
      </w:r>
    </w:p>
    <w:p w:rsidR="00A4708A" w:rsidRPr="00E7309C" w:rsidRDefault="00A4708A" w:rsidP="00E7309C">
      <w:pPr>
        <w:widowControl/>
        <w:shd w:val="clear" w:color="auto" w:fill="FFFFFF"/>
        <w:spacing w:afterLines="50" w:line="460" w:lineRule="exact"/>
        <w:ind w:firstLine="48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公示期满后，测评数据除特殊情况下不得更改。学院对公示完成后的考评数据进行评定，并公布结果。</w:t>
      </w:r>
    </w:p>
    <w:p w:rsidR="00A4708A" w:rsidRPr="00E7309C" w:rsidRDefault="00A4708A" w:rsidP="00E7309C">
      <w:pPr>
        <w:widowControl/>
        <w:shd w:val="clear" w:color="auto" w:fill="FFFFFF"/>
        <w:spacing w:afterLines="50" w:line="460" w:lineRule="exact"/>
        <w:ind w:left="420" w:hanging="420"/>
        <w:jc w:val="left"/>
        <w:rPr>
          <w:rFonts w:asciiTheme="minorEastAsia" w:hAnsiTheme="minorEastAsia" w:cs="Arial"/>
          <w:color w:val="040404"/>
          <w:kern w:val="0"/>
          <w:sz w:val="24"/>
          <w:szCs w:val="24"/>
        </w:rPr>
      </w:pPr>
      <w:r w:rsidRPr="00E7309C">
        <w:rPr>
          <w:rFonts w:asciiTheme="minorEastAsia" w:hAnsiTheme="minorEastAsia" w:cs="Arial"/>
          <w:b/>
          <w:bCs/>
          <w:color w:val="040404"/>
          <w:kern w:val="0"/>
          <w:sz w:val="24"/>
          <w:szCs w:val="24"/>
        </w:rPr>
        <w:t>2. 宿舍表现（15％）</w:t>
      </w:r>
    </w:p>
    <w:p w:rsidR="00A4708A" w:rsidRPr="00E7309C" w:rsidRDefault="00A4708A" w:rsidP="00E7309C">
      <w:pPr>
        <w:widowControl/>
        <w:shd w:val="clear" w:color="auto" w:fill="FFFFFF"/>
        <w:spacing w:afterLines="50" w:line="460" w:lineRule="exact"/>
        <w:ind w:firstLine="42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数据由学生公寓管理中心提供，学院不做任何调整。</w:t>
      </w:r>
    </w:p>
    <w:p w:rsidR="00A4708A" w:rsidRPr="00E7309C" w:rsidRDefault="00A4708A" w:rsidP="00E7309C">
      <w:pPr>
        <w:widowControl/>
        <w:shd w:val="clear" w:color="auto" w:fill="FFFFFF"/>
        <w:spacing w:afterLines="50" w:line="460" w:lineRule="exact"/>
        <w:ind w:left="420" w:hanging="420"/>
        <w:jc w:val="left"/>
        <w:rPr>
          <w:rFonts w:asciiTheme="minorEastAsia" w:hAnsiTheme="minorEastAsia" w:cs="Arial"/>
          <w:color w:val="040404"/>
          <w:kern w:val="0"/>
          <w:sz w:val="24"/>
          <w:szCs w:val="24"/>
        </w:rPr>
      </w:pPr>
      <w:r w:rsidRPr="00E7309C">
        <w:rPr>
          <w:rFonts w:asciiTheme="minorEastAsia" w:hAnsiTheme="minorEastAsia" w:cs="Arial"/>
          <w:b/>
          <w:bCs/>
          <w:color w:val="040404"/>
          <w:kern w:val="0"/>
          <w:sz w:val="24"/>
          <w:szCs w:val="24"/>
        </w:rPr>
        <w:t>3. 确定总分、排名及德育等级</w:t>
      </w:r>
    </w:p>
    <w:p w:rsidR="00A4708A" w:rsidRPr="00E7309C" w:rsidRDefault="00A4708A" w:rsidP="00E7309C">
      <w:pPr>
        <w:widowControl/>
        <w:shd w:val="clear" w:color="auto" w:fill="FFFFFF"/>
        <w:spacing w:afterLines="50" w:line="460" w:lineRule="exact"/>
        <w:ind w:firstLine="48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思想评定总分（100％）=（德育纪实考评）*85％+（宿舍表现）*15%</w:t>
      </w:r>
    </w:p>
    <w:p w:rsidR="00A4708A" w:rsidRPr="00E7309C" w:rsidRDefault="00A4708A" w:rsidP="00E7309C">
      <w:pPr>
        <w:widowControl/>
        <w:shd w:val="clear" w:color="auto" w:fill="FFFFFF"/>
        <w:spacing w:afterLines="50" w:line="460" w:lineRule="exact"/>
        <w:ind w:firstLine="42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各班级各自排序，约前50%为优秀、后50%为良好，受纪律处分学生在原评定等级基础上至少降一级处理。</w:t>
      </w:r>
    </w:p>
    <w:p w:rsidR="00A4708A" w:rsidRPr="00E7309C" w:rsidRDefault="00A4708A" w:rsidP="00E7309C">
      <w:pPr>
        <w:widowControl/>
        <w:shd w:val="clear" w:color="auto" w:fill="FFFFFF"/>
        <w:spacing w:afterLines="50" w:line="460" w:lineRule="exact"/>
        <w:ind w:firstLine="420"/>
        <w:jc w:val="left"/>
        <w:rPr>
          <w:rFonts w:asciiTheme="minorEastAsia" w:hAnsiTheme="minorEastAsia" w:cs="Arial"/>
          <w:color w:val="040404"/>
          <w:kern w:val="0"/>
          <w:sz w:val="24"/>
          <w:szCs w:val="24"/>
        </w:rPr>
      </w:pP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b/>
          <w:bCs/>
          <w:color w:val="040404"/>
          <w:kern w:val="0"/>
          <w:sz w:val="24"/>
          <w:szCs w:val="24"/>
        </w:rPr>
        <w:t>三、体育健康评价</w:t>
      </w:r>
    </w:p>
    <w:p w:rsidR="00A4708A" w:rsidRPr="00E7309C" w:rsidRDefault="00A4708A" w:rsidP="00E7309C">
      <w:pPr>
        <w:widowControl/>
        <w:shd w:val="clear" w:color="auto" w:fill="FFFFFF"/>
        <w:spacing w:afterLines="50" w:line="460" w:lineRule="exact"/>
        <w:ind w:firstLine="47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体育健康成绩由公体部统一给出，学院不做任何调整。数学学院本科生参与奖学金和荣誉称号评定，要求身体素质良好，达到“学生体质健康标准”合格及以上等级，其中三好学生的评定要求达到良好及以上等级。如有特殊情况，请及时上报院奖学金评审委员会进行备案。</w:t>
      </w:r>
    </w:p>
    <w:p w:rsidR="00A4708A" w:rsidRPr="00E7309C" w:rsidRDefault="00A4708A" w:rsidP="00E7309C">
      <w:pPr>
        <w:widowControl/>
        <w:shd w:val="clear" w:color="auto" w:fill="FFFFFF"/>
        <w:spacing w:afterLines="50" w:line="460" w:lineRule="exact"/>
        <w:ind w:firstLine="470"/>
        <w:jc w:val="left"/>
        <w:rPr>
          <w:rFonts w:asciiTheme="minorEastAsia" w:hAnsiTheme="minorEastAsia" w:cs="Arial"/>
          <w:color w:val="040404"/>
          <w:kern w:val="0"/>
          <w:sz w:val="24"/>
          <w:szCs w:val="24"/>
        </w:rPr>
      </w:pP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b/>
          <w:bCs/>
          <w:color w:val="040404"/>
          <w:kern w:val="0"/>
          <w:sz w:val="24"/>
          <w:szCs w:val="24"/>
        </w:rPr>
        <w:t>四、学生评奖、评优内容：</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b/>
          <w:bCs/>
          <w:color w:val="040404"/>
          <w:kern w:val="0"/>
          <w:sz w:val="24"/>
          <w:szCs w:val="24"/>
        </w:rPr>
        <w:t>1、校设奖学金评定</w:t>
      </w:r>
    </w:p>
    <w:p w:rsidR="00A4708A" w:rsidRPr="00E7309C" w:rsidRDefault="00A4708A" w:rsidP="00E7309C">
      <w:pPr>
        <w:widowControl/>
        <w:shd w:val="clear" w:color="auto" w:fill="FFFFFF"/>
        <w:spacing w:afterLines="50" w:line="460" w:lineRule="exact"/>
        <w:ind w:firstLine="48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lastRenderedPageBreak/>
        <w:t>校设奖学金包括竺可桢奖学金、优秀学生奖学金、单项奖学金、研究与创新奖学金、专业奖学金、对外交流奖学金、新生奖学金和特别奖学金等。校设奖学金按浙大发学[2007]5号文件关于印发《</w:t>
      </w:r>
      <w:hyperlink r:id="rId6" w:history="1">
        <w:r w:rsidRPr="00E7309C">
          <w:rPr>
            <w:rFonts w:asciiTheme="minorEastAsia" w:hAnsiTheme="minorEastAsia" w:cs="Arial"/>
            <w:color w:val="0066CC"/>
            <w:kern w:val="0"/>
            <w:sz w:val="24"/>
            <w:szCs w:val="24"/>
            <w:u w:val="single"/>
          </w:rPr>
          <w:t>浙江大学本科学生奖学金评定及管理条例（2007年4月修订）</w:t>
        </w:r>
      </w:hyperlink>
      <w:r w:rsidRPr="00E7309C">
        <w:rPr>
          <w:rFonts w:asciiTheme="minorEastAsia" w:hAnsiTheme="minorEastAsia" w:cs="Arial"/>
          <w:color w:val="040404"/>
          <w:kern w:val="0"/>
          <w:sz w:val="24"/>
          <w:szCs w:val="24"/>
        </w:rPr>
        <w:t>》及浙大发学[2007]17号文件《</w:t>
      </w:r>
      <w:hyperlink r:id="rId7" w:history="1">
        <w:r w:rsidRPr="00E7309C">
          <w:rPr>
            <w:rFonts w:asciiTheme="minorEastAsia" w:hAnsiTheme="minorEastAsia" w:cs="Arial"/>
            <w:color w:val="0066CC"/>
            <w:kern w:val="0"/>
            <w:sz w:val="24"/>
            <w:szCs w:val="24"/>
            <w:u w:val="single"/>
          </w:rPr>
          <w:t>浙江大学本科学生特别奖学金实施办法</w:t>
        </w:r>
      </w:hyperlink>
      <w:r w:rsidRPr="00E7309C">
        <w:rPr>
          <w:rFonts w:asciiTheme="minorEastAsia" w:hAnsiTheme="minorEastAsia" w:cs="Arial"/>
          <w:color w:val="040404"/>
          <w:kern w:val="0"/>
          <w:sz w:val="24"/>
          <w:szCs w:val="24"/>
        </w:rPr>
        <w:t>》执行。</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b/>
          <w:bCs/>
          <w:color w:val="040404"/>
          <w:kern w:val="0"/>
          <w:sz w:val="24"/>
          <w:szCs w:val="24"/>
        </w:rPr>
        <w:t>a.竺可桢奖学金</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按照学校文件执行选拔，综合考虑德、智、体、美全面发展，决定推荐名单。</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b/>
          <w:bCs/>
          <w:color w:val="040404"/>
          <w:kern w:val="0"/>
          <w:sz w:val="24"/>
          <w:szCs w:val="24"/>
        </w:rPr>
        <w:t>b.学业优秀奖学金</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按综合学年排名10％，20％，30％划定一等、二等、三等学业优秀奖学金。</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b/>
          <w:bCs/>
          <w:color w:val="040404"/>
          <w:kern w:val="0"/>
          <w:sz w:val="24"/>
          <w:szCs w:val="24"/>
        </w:rPr>
        <w:t>c.优秀学生奖学金</w:t>
      </w:r>
    </w:p>
    <w:p w:rsidR="00A4708A" w:rsidRPr="00E7309C" w:rsidRDefault="00A4708A" w:rsidP="00E7309C">
      <w:pPr>
        <w:widowControl/>
        <w:shd w:val="clear" w:color="auto" w:fill="FFFFFF"/>
        <w:spacing w:afterLines="50" w:line="460" w:lineRule="exact"/>
        <w:ind w:firstLine="48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结合学业优秀奖学金状况和综合素质评定等级进行评定。一等、二等、三等学业优秀奖学金获得者思想评定等级优秀的同学可相应评定为一等、二等、三等优秀学生奖学金，获两个单项奖学金或研究创新一等奖学金与一个单项奖学金，思想评定等级为优秀的可以转为优秀学生三等奖学金。</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b/>
          <w:bCs/>
          <w:color w:val="040404"/>
          <w:kern w:val="0"/>
          <w:sz w:val="24"/>
          <w:szCs w:val="24"/>
        </w:rPr>
        <w:t>d.社会工作优秀、社会实践优秀、文体活动优秀奖学金</w:t>
      </w:r>
    </w:p>
    <w:p w:rsidR="00A4708A" w:rsidRPr="00E7309C" w:rsidRDefault="00A4708A" w:rsidP="00E7309C">
      <w:pPr>
        <w:widowControl/>
        <w:shd w:val="clear" w:color="auto" w:fill="FFFFFF"/>
        <w:spacing w:afterLines="50" w:line="460" w:lineRule="exact"/>
        <w:ind w:firstLine="48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单项奖学金的评选，学院秉承宁缺勿滥的原则。具体要求如下：</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（1）社会工作奖学金申请者应为院团学联部长及以上，党支部书记、副书记及委员，院团总支副书记及委员，班长或团支书；</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（2）文体活动奖学金申请者需在过去一学年内曾代表学院或学校参赛，并获得校级及以上荣誉；</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（3）社会实践奖学金申请者应热爱实践，热衷社会公益事业，并在过去一学年内获得过相关荣誉。</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b/>
          <w:bCs/>
          <w:color w:val="040404"/>
          <w:kern w:val="0"/>
          <w:sz w:val="24"/>
          <w:szCs w:val="24"/>
        </w:rPr>
        <w:t>2、其他荣誉称号评定</w:t>
      </w:r>
    </w:p>
    <w:p w:rsidR="00A4708A" w:rsidRPr="00E7309C" w:rsidRDefault="00A4708A" w:rsidP="00E7309C">
      <w:pPr>
        <w:widowControl/>
        <w:shd w:val="clear" w:color="auto" w:fill="FFFFFF"/>
        <w:spacing w:afterLines="50" w:line="460" w:lineRule="exact"/>
        <w:ind w:firstLine="48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荣誉称号分个人荣誉称号和集体荣誉称号。个人荣誉称号分求是荣誉奖章、优秀学生（三好学生）、优秀学生干部和优秀毕业生；集体荣誉称号分先进班级</w:t>
      </w:r>
      <w:r w:rsidRPr="00E7309C">
        <w:rPr>
          <w:rFonts w:asciiTheme="minorEastAsia" w:hAnsiTheme="minorEastAsia" w:cs="Arial"/>
          <w:color w:val="040404"/>
          <w:kern w:val="0"/>
          <w:sz w:val="24"/>
          <w:szCs w:val="24"/>
        </w:rPr>
        <w:lastRenderedPageBreak/>
        <w:t>和文明寝室。荣誉称号评定按照浙大发学[2007]6号文件《</w:t>
      </w:r>
      <w:hyperlink r:id="rId8" w:history="1">
        <w:r w:rsidRPr="00E7309C">
          <w:rPr>
            <w:rFonts w:asciiTheme="minorEastAsia" w:hAnsiTheme="minorEastAsia" w:cs="Arial"/>
            <w:color w:val="0066CC"/>
            <w:kern w:val="0"/>
            <w:sz w:val="24"/>
            <w:szCs w:val="24"/>
            <w:u w:val="single"/>
          </w:rPr>
          <w:t>浙江大学本科学生荣誉称号评定及管理条例（（2007年4月修订）</w:t>
        </w:r>
      </w:hyperlink>
      <w:r w:rsidRPr="00E7309C">
        <w:rPr>
          <w:rFonts w:asciiTheme="minorEastAsia" w:hAnsiTheme="minorEastAsia" w:cs="Arial"/>
          <w:color w:val="040404"/>
          <w:kern w:val="0"/>
          <w:sz w:val="24"/>
          <w:szCs w:val="24"/>
        </w:rPr>
        <w:t>》执行。</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b/>
          <w:bCs/>
          <w:color w:val="040404"/>
          <w:kern w:val="0"/>
          <w:sz w:val="24"/>
          <w:szCs w:val="24"/>
        </w:rPr>
        <w:t>3、外设奖学金评定</w:t>
      </w:r>
    </w:p>
    <w:p w:rsidR="00A4708A" w:rsidRPr="00E7309C" w:rsidRDefault="00A4708A" w:rsidP="00E7309C">
      <w:pPr>
        <w:widowControl/>
        <w:shd w:val="clear" w:color="auto" w:fill="FFFFFF"/>
        <w:spacing w:afterLines="50" w:line="460" w:lineRule="exact"/>
        <w:ind w:firstLine="48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外设奖学金（即企事业单位或者个人出资在我校设立的奖学金），根据学校各类外设奖学金名额，由学院根据各单项奖学金具体要求进行评定：（1）奖学金协议中明确规定分配方式的奖学金，按照协议规定分配；（2）对于协议中只规定了分配范围但未明确规定名额分配方式的奖学金，或只规定了名额未规定分配范围的奖学金，采用学生自主申报，并答辩（包括一分钟自我介绍和评审提问）的方式，由学院奖学金评审委员会参与答辩后给出最终的评分。根据得分高低来决定学生选择各类外设奖学金的顺序，即得分高者可优先在符合要求的外设奖学金中进行选择；（3）一些不设名额、由校外机构评选的奖学金，或者有特殊要求的奖学金，按照设奖单位要求进行评选。</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b/>
          <w:bCs/>
          <w:color w:val="040404"/>
          <w:kern w:val="0"/>
          <w:sz w:val="24"/>
          <w:szCs w:val="24"/>
        </w:rPr>
        <w:t>4、国家奖学金评定</w:t>
      </w:r>
    </w:p>
    <w:p w:rsidR="00A4708A" w:rsidRPr="00E7309C" w:rsidRDefault="00A4708A" w:rsidP="00E7309C">
      <w:pPr>
        <w:widowControl/>
        <w:shd w:val="clear" w:color="auto" w:fill="FFFFFF"/>
        <w:spacing w:afterLines="50" w:line="460" w:lineRule="exact"/>
        <w:ind w:firstLine="48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按照浙大发本[2008]115号文件关于印发《</w:t>
      </w:r>
      <w:hyperlink r:id="rId9" w:history="1">
        <w:r w:rsidRPr="00E7309C">
          <w:rPr>
            <w:rFonts w:asciiTheme="minorEastAsia" w:hAnsiTheme="minorEastAsia" w:cs="Arial"/>
            <w:color w:val="0066CC"/>
            <w:kern w:val="0"/>
            <w:sz w:val="24"/>
            <w:szCs w:val="24"/>
            <w:u w:val="single"/>
          </w:rPr>
          <w:t>浙江大学国家奖学金评审工作暂行办法</w:t>
        </w:r>
      </w:hyperlink>
      <w:r w:rsidRPr="00E7309C">
        <w:rPr>
          <w:rFonts w:asciiTheme="minorEastAsia" w:hAnsiTheme="minorEastAsia" w:cs="Arial"/>
          <w:color w:val="040404"/>
          <w:kern w:val="0"/>
          <w:sz w:val="24"/>
          <w:szCs w:val="24"/>
        </w:rPr>
        <w:t>》的通知执行。</w:t>
      </w:r>
    </w:p>
    <w:p w:rsidR="00A4708A" w:rsidRPr="00E7309C" w:rsidRDefault="00A4708A" w:rsidP="00E7309C">
      <w:pPr>
        <w:widowControl/>
        <w:shd w:val="clear" w:color="auto" w:fill="FFFFFF"/>
        <w:spacing w:afterLines="50" w:line="460" w:lineRule="exact"/>
        <w:ind w:firstLine="480"/>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学院采用学生自主申报，并答辩的方式，由学院奖学金评审委员会参与答辩后给出最终的评分，根据申报者的得分高低来决定学院初审名单。</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b/>
          <w:bCs/>
          <w:color w:val="040404"/>
          <w:kern w:val="0"/>
          <w:sz w:val="24"/>
          <w:szCs w:val="24"/>
        </w:rPr>
        <w:t>五、学生评奖、评优注意事项：</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1、学业奖学金、优秀学生奖学金、三好学生不需提出申请，由系统自动生成。其他各类奖学金和荣誉称号须本人提出申请（申请表见相关通知），学院奖学金评审委员会根据相关奖学金的评奖要求择优评定。</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2、学院会将各类奖学金和荣誉称号的初评名单在数学科学学院院网上公示，充分征求教师和学生意见。</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3、申请先进班级的需班级成员体育全部及格，并报送先进班级事迹材料一份，并填写《</w:t>
      </w:r>
      <w:hyperlink r:id="rId10" w:history="1">
        <w:r w:rsidRPr="00E7309C">
          <w:rPr>
            <w:rFonts w:asciiTheme="minorEastAsia" w:hAnsiTheme="minorEastAsia" w:cs="Arial"/>
            <w:color w:val="0066CC"/>
            <w:kern w:val="0"/>
            <w:sz w:val="24"/>
            <w:szCs w:val="24"/>
            <w:u w:val="single"/>
          </w:rPr>
          <w:t>浙江大学先进班级评审表</w:t>
        </w:r>
      </w:hyperlink>
      <w:r w:rsidRPr="00E7309C">
        <w:rPr>
          <w:rFonts w:asciiTheme="minorEastAsia" w:hAnsiTheme="minorEastAsia" w:cs="Arial"/>
          <w:color w:val="040404"/>
          <w:kern w:val="0"/>
          <w:sz w:val="24"/>
          <w:szCs w:val="24"/>
        </w:rPr>
        <w:t>》。</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lastRenderedPageBreak/>
        <w:t>4、学院获奖名单确定后，在学校预公示学年各类奖学金、荣誉称号名单</w:t>
      </w:r>
      <w:r w:rsidR="00646C47">
        <w:rPr>
          <w:rFonts w:asciiTheme="minorEastAsia" w:hAnsiTheme="minorEastAsia" w:cs="Arial" w:hint="eastAsia"/>
          <w:color w:val="040404"/>
          <w:kern w:val="0"/>
          <w:sz w:val="24"/>
          <w:szCs w:val="24"/>
        </w:rPr>
        <w:t>期间</w:t>
      </w:r>
      <w:r w:rsidRPr="00E7309C">
        <w:rPr>
          <w:rFonts w:asciiTheme="minorEastAsia" w:hAnsiTheme="minorEastAsia" w:cs="Arial"/>
          <w:color w:val="040404"/>
          <w:kern w:val="0"/>
          <w:sz w:val="24"/>
          <w:szCs w:val="24"/>
        </w:rPr>
        <w:t>，如有异议，经核实可调整，学校发文后即为最终名单。</w:t>
      </w:r>
    </w:p>
    <w:p w:rsidR="00A4708A" w:rsidRPr="00E7309C" w:rsidRDefault="00A4708A" w:rsidP="00E7309C">
      <w:pPr>
        <w:widowControl/>
        <w:shd w:val="clear" w:color="auto" w:fill="FFFFFF"/>
        <w:spacing w:afterLines="50" w:line="460" w:lineRule="exact"/>
        <w:jc w:val="left"/>
        <w:rPr>
          <w:rFonts w:asciiTheme="minorEastAsia" w:hAnsiTheme="minorEastAsia" w:cs="Arial"/>
          <w:color w:val="040404"/>
          <w:kern w:val="0"/>
          <w:sz w:val="24"/>
          <w:szCs w:val="24"/>
        </w:rPr>
      </w:pPr>
    </w:p>
    <w:p w:rsidR="00A4708A" w:rsidRPr="00E7309C" w:rsidRDefault="00A4708A" w:rsidP="00E7309C">
      <w:pPr>
        <w:widowControl/>
        <w:shd w:val="clear" w:color="auto" w:fill="FFFFFF"/>
        <w:spacing w:afterLines="50" w:line="460" w:lineRule="exact"/>
        <w:jc w:val="right"/>
        <w:rPr>
          <w:rFonts w:asciiTheme="minorEastAsia" w:hAnsiTheme="minorEastAsia" w:cs="Arial"/>
          <w:color w:val="040404"/>
          <w:kern w:val="0"/>
          <w:sz w:val="24"/>
          <w:szCs w:val="24"/>
        </w:rPr>
      </w:pPr>
    </w:p>
    <w:p w:rsidR="00A4708A" w:rsidRPr="00E7309C" w:rsidRDefault="00A4708A" w:rsidP="00E7309C">
      <w:pPr>
        <w:widowControl/>
        <w:shd w:val="clear" w:color="auto" w:fill="FFFFFF"/>
        <w:spacing w:afterLines="50" w:line="460" w:lineRule="exact"/>
        <w:jc w:val="righ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浙江大学数学科学学院奖学金评审委员会</w:t>
      </w:r>
    </w:p>
    <w:p w:rsidR="00A4708A" w:rsidRPr="00E7309C" w:rsidRDefault="00A4708A" w:rsidP="00E7309C">
      <w:pPr>
        <w:widowControl/>
        <w:shd w:val="clear" w:color="auto" w:fill="FFFFFF"/>
        <w:spacing w:afterLines="50" w:line="460" w:lineRule="exact"/>
        <w:jc w:val="right"/>
        <w:rPr>
          <w:rFonts w:asciiTheme="minorEastAsia" w:hAnsiTheme="minorEastAsia" w:cs="Arial"/>
          <w:color w:val="040404"/>
          <w:kern w:val="0"/>
          <w:sz w:val="24"/>
          <w:szCs w:val="24"/>
        </w:rPr>
      </w:pPr>
      <w:r w:rsidRPr="00E7309C">
        <w:rPr>
          <w:rFonts w:asciiTheme="minorEastAsia" w:hAnsiTheme="minorEastAsia" w:cs="Arial"/>
          <w:color w:val="040404"/>
          <w:kern w:val="0"/>
          <w:sz w:val="24"/>
          <w:szCs w:val="24"/>
        </w:rPr>
        <w:t>二○一</w:t>
      </w:r>
      <w:r w:rsidR="00E7309C" w:rsidRPr="00E7309C">
        <w:rPr>
          <w:rFonts w:asciiTheme="minorEastAsia" w:hAnsiTheme="minorEastAsia" w:cs="Arial" w:hint="eastAsia"/>
          <w:color w:val="040404"/>
          <w:kern w:val="0"/>
          <w:sz w:val="24"/>
          <w:szCs w:val="24"/>
        </w:rPr>
        <w:t>九</w:t>
      </w:r>
      <w:r w:rsidRPr="00E7309C">
        <w:rPr>
          <w:rFonts w:asciiTheme="minorEastAsia" w:hAnsiTheme="minorEastAsia" w:cs="Arial"/>
          <w:color w:val="040404"/>
          <w:kern w:val="0"/>
          <w:sz w:val="24"/>
          <w:szCs w:val="24"/>
        </w:rPr>
        <w:t>年九月</w:t>
      </w:r>
    </w:p>
    <w:p w:rsidR="00ED2314" w:rsidRPr="00E7309C" w:rsidRDefault="00ED2314" w:rsidP="00E7309C">
      <w:pPr>
        <w:spacing w:afterLines="50" w:line="460" w:lineRule="exact"/>
        <w:rPr>
          <w:rFonts w:asciiTheme="minorEastAsia" w:hAnsiTheme="minorEastAsia"/>
          <w:sz w:val="24"/>
          <w:szCs w:val="24"/>
        </w:rPr>
      </w:pPr>
    </w:p>
    <w:sectPr w:rsidR="00ED2314" w:rsidRPr="00E7309C" w:rsidSect="007361C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5DE6" w:rsidRDefault="00BA5DE6" w:rsidP="00A4708A">
      <w:r>
        <w:separator/>
      </w:r>
    </w:p>
  </w:endnote>
  <w:endnote w:type="continuationSeparator" w:id="1">
    <w:p w:rsidR="00BA5DE6" w:rsidRDefault="00BA5DE6" w:rsidP="00A47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5DE6" w:rsidRDefault="00BA5DE6" w:rsidP="00A4708A">
      <w:r>
        <w:separator/>
      </w:r>
    </w:p>
  </w:footnote>
  <w:footnote w:type="continuationSeparator" w:id="1">
    <w:p w:rsidR="00BA5DE6" w:rsidRDefault="00BA5DE6" w:rsidP="00A470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708A"/>
    <w:rsid w:val="001A7F4D"/>
    <w:rsid w:val="00646C47"/>
    <w:rsid w:val="007361CF"/>
    <w:rsid w:val="00A1268F"/>
    <w:rsid w:val="00A4708A"/>
    <w:rsid w:val="00BA5DE6"/>
    <w:rsid w:val="00C75061"/>
    <w:rsid w:val="00E7309C"/>
    <w:rsid w:val="00ED231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1C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470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4708A"/>
    <w:rPr>
      <w:sz w:val="18"/>
      <w:szCs w:val="18"/>
    </w:rPr>
  </w:style>
  <w:style w:type="paragraph" w:styleId="a4">
    <w:name w:val="footer"/>
    <w:basedOn w:val="a"/>
    <w:link w:val="Char0"/>
    <w:uiPriority w:val="99"/>
    <w:semiHidden/>
    <w:unhideWhenUsed/>
    <w:rsid w:val="00A470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4708A"/>
    <w:rPr>
      <w:sz w:val="18"/>
      <w:szCs w:val="18"/>
    </w:rPr>
  </w:style>
</w:styles>
</file>

<file path=word/webSettings.xml><?xml version="1.0" encoding="utf-8"?>
<w:webSettings xmlns:r="http://schemas.openxmlformats.org/officeDocument/2006/relationships" xmlns:w="http://schemas.openxmlformats.org/wordprocessingml/2006/main">
  <w:divs>
    <w:div w:id="342519127">
      <w:bodyDiv w:val="1"/>
      <w:marLeft w:val="0"/>
      <w:marRight w:val="0"/>
      <w:marTop w:val="0"/>
      <w:marBottom w:val="0"/>
      <w:divBdr>
        <w:top w:val="none" w:sz="0" w:space="0" w:color="auto"/>
        <w:left w:val="none" w:sz="0" w:space="0" w:color="auto"/>
        <w:bottom w:val="none" w:sz="0" w:space="0" w:color="auto"/>
        <w:right w:val="none" w:sz="0" w:space="0" w:color="auto"/>
      </w:divBdr>
    </w:div>
    <w:div w:id="635379886">
      <w:bodyDiv w:val="1"/>
      <w:marLeft w:val="0"/>
      <w:marRight w:val="0"/>
      <w:marTop w:val="0"/>
      <w:marBottom w:val="0"/>
      <w:divBdr>
        <w:top w:val="none" w:sz="0" w:space="0" w:color="auto"/>
        <w:left w:val="none" w:sz="0" w:space="0" w:color="auto"/>
        <w:bottom w:val="none" w:sz="0" w:space="0" w:color="auto"/>
        <w:right w:val="none" w:sz="0" w:space="0" w:color="auto"/>
      </w:divBdr>
    </w:div>
    <w:div w:id="768236576">
      <w:bodyDiv w:val="1"/>
      <w:marLeft w:val="0"/>
      <w:marRight w:val="0"/>
      <w:marTop w:val="0"/>
      <w:marBottom w:val="0"/>
      <w:divBdr>
        <w:top w:val="none" w:sz="0" w:space="0" w:color="auto"/>
        <w:left w:val="none" w:sz="0" w:space="0" w:color="auto"/>
        <w:bottom w:val="none" w:sz="0" w:space="0" w:color="auto"/>
        <w:right w:val="none" w:sz="0" w:space="0" w:color="auto"/>
      </w:divBdr>
    </w:div>
    <w:div w:id="92661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ksy.zju.edu.cn/attachments/2009-02/01-1234831211-8648.pdf" TargetMode="External"/><Relationship Id="rId3" Type="http://schemas.openxmlformats.org/officeDocument/2006/relationships/webSettings" Target="webSettings.xml"/><Relationship Id="rId7" Type="http://schemas.openxmlformats.org/officeDocument/2006/relationships/hyperlink" Target="http://bksy.zju.edu.cn/attachments/2009-02/01-1234831283-8654.pd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ksy.zju.edu.cn/attachments/2009-02/01-1234831338-8660.pdf"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xgb.zju.edu.cn/wescms/sys/filebrowser/file.php?cmd=download&amp;id=16530" TargetMode="External"/><Relationship Id="rId4" Type="http://schemas.openxmlformats.org/officeDocument/2006/relationships/footnotes" Target="footnotes.xml"/><Relationship Id="rId9" Type="http://schemas.openxmlformats.org/officeDocument/2006/relationships/hyperlink" Target="http://bksy.zju.edu.cn/attachments/2009-04/01-1240292944-11878.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8</Pages>
  <Words>657</Words>
  <Characters>3749</Characters>
  <Application>Microsoft Office Word</Application>
  <DocSecurity>0</DocSecurity>
  <Lines>31</Lines>
  <Paragraphs>8</Paragraphs>
  <ScaleCrop>false</ScaleCrop>
  <Company>Microsoft</Company>
  <LinksUpToDate>false</LinksUpToDate>
  <CharactersWithSpaces>4398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ZJTLM8600</dc:creator>
  <cp:keywords/>
  <dc:description/>
  <cp:lastModifiedBy>ZJTLM8600</cp:lastModifiedBy>
  <cp:revision>4</cp:revision>
  <dcterms:created xsi:type="dcterms:W3CDTF">2019-09-13T02:45:00Z</dcterms:created>
  <dcterms:modified xsi:type="dcterms:W3CDTF">2019-09-13T04:17:00Z</dcterms:modified>
</cp:coreProperties>
</file>